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A2DB" w14:textId="77777777" w:rsidR="00876719" w:rsidRDefault="00876719" w:rsidP="0087671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BE33F" wp14:editId="4609D9B4">
            <wp:simplePos x="0" y="0"/>
            <wp:positionH relativeFrom="column">
              <wp:posOffset>2578735</wp:posOffset>
            </wp:positionH>
            <wp:positionV relativeFrom="paragraph">
              <wp:posOffset>-519430</wp:posOffset>
            </wp:positionV>
            <wp:extent cx="717550" cy="884555"/>
            <wp:effectExtent l="0" t="0" r="0" b="0"/>
            <wp:wrapTopAndBottom/>
            <wp:docPr id="1" name="Immagine 2" descr="Logo Comune Marigli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une Marigliane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78061" w14:textId="77777777" w:rsidR="00876719" w:rsidRPr="00990A4C" w:rsidRDefault="00876719" w:rsidP="00876719">
      <w:pPr>
        <w:spacing w:after="0"/>
        <w:jc w:val="center"/>
        <w:rPr>
          <w:rFonts w:ascii="Cambria Math" w:hAnsi="Cambria Math"/>
          <w:b/>
          <w:noProof/>
          <w:sz w:val="24"/>
        </w:rPr>
      </w:pPr>
      <w:r w:rsidRPr="00990A4C">
        <w:rPr>
          <w:rFonts w:ascii="Cambria Math" w:hAnsi="Cambria Math"/>
          <w:b/>
          <w:sz w:val="36"/>
          <w:szCs w:val="36"/>
        </w:rPr>
        <w:t>COMUNE DI MARIGLIANELLA</w:t>
      </w:r>
    </w:p>
    <w:p w14:paraId="2104D465" w14:textId="77777777" w:rsidR="00876719" w:rsidRPr="00990A4C" w:rsidRDefault="00876719" w:rsidP="00876719">
      <w:pPr>
        <w:spacing w:after="0"/>
        <w:jc w:val="center"/>
        <w:rPr>
          <w:rFonts w:ascii="Cambria Math" w:hAnsi="Cambria Math"/>
          <w:b/>
          <w:sz w:val="28"/>
          <w:szCs w:val="28"/>
        </w:rPr>
      </w:pPr>
      <w:r w:rsidRPr="00990A4C">
        <w:rPr>
          <w:rFonts w:ascii="Cambria Math" w:hAnsi="Cambria Math"/>
          <w:b/>
          <w:sz w:val="28"/>
          <w:szCs w:val="28"/>
        </w:rPr>
        <w:t>(Città metropolitana di Napoli)</w:t>
      </w:r>
    </w:p>
    <w:p w14:paraId="5154E149" w14:textId="77777777" w:rsidR="00876719" w:rsidRPr="00990A4C" w:rsidRDefault="00876719" w:rsidP="00876719">
      <w:pPr>
        <w:spacing w:after="0"/>
        <w:jc w:val="center"/>
        <w:rPr>
          <w:rFonts w:ascii="Cambria Math" w:hAnsi="Cambria Math"/>
          <w:b/>
          <w:sz w:val="28"/>
          <w:szCs w:val="28"/>
        </w:rPr>
      </w:pPr>
      <w:r w:rsidRPr="00990A4C">
        <w:rPr>
          <w:rFonts w:ascii="Cambria Math" w:hAnsi="Cambria Math"/>
          <w:b/>
          <w:sz w:val="28"/>
          <w:szCs w:val="28"/>
        </w:rPr>
        <w:t>(081/8411222)</w:t>
      </w:r>
    </w:p>
    <w:p w14:paraId="40538902" w14:textId="77777777" w:rsidR="00876719" w:rsidRPr="00990A4C" w:rsidRDefault="00876719" w:rsidP="00876719">
      <w:pPr>
        <w:spacing w:after="0"/>
        <w:jc w:val="center"/>
        <w:rPr>
          <w:rFonts w:ascii="Cambria Math" w:hAnsi="Cambria Math"/>
          <w:b/>
          <w:noProof/>
          <w:sz w:val="28"/>
          <w:szCs w:val="28"/>
        </w:rPr>
      </w:pPr>
      <w:r w:rsidRPr="00990A4C">
        <w:rPr>
          <w:rFonts w:ascii="Cambria Math" w:hAnsi="Cambria Math"/>
          <w:b/>
          <w:noProof/>
          <w:sz w:val="28"/>
          <w:szCs w:val="28"/>
        </w:rPr>
        <w:t xml:space="preserve">PEC:  </w:t>
      </w:r>
      <w:hyperlink r:id="rId6" w:history="1">
        <w:r w:rsidRPr="00990A4C">
          <w:rPr>
            <w:rStyle w:val="Collegamentoipertestuale"/>
            <w:rFonts w:ascii="Cambria Math" w:hAnsi="Cambria Math"/>
            <w:b/>
            <w:noProof/>
            <w:color w:val="auto"/>
            <w:sz w:val="28"/>
            <w:szCs w:val="28"/>
          </w:rPr>
          <w:t>comune.mariglianella@asmepec.it</w:t>
        </w:r>
      </w:hyperlink>
    </w:p>
    <w:p w14:paraId="0888307B" w14:textId="77777777" w:rsidR="00876719" w:rsidRPr="00876719" w:rsidRDefault="00876719" w:rsidP="00876719">
      <w:pPr>
        <w:jc w:val="center"/>
        <w:rPr>
          <w:b/>
          <w:bCs/>
          <w:sz w:val="28"/>
          <w:szCs w:val="28"/>
        </w:rPr>
      </w:pPr>
    </w:p>
    <w:p w14:paraId="52997437" w14:textId="1BBEF9F7" w:rsidR="00530F59" w:rsidRPr="00876719" w:rsidRDefault="00530F59" w:rsidP="00876719">
      <w:pPr>
        <w:jc w:val="center"/>
        <w:rPr>
          <w:b/>
          <w:bCs/>
          <w:sz w:val="28"/>
          <w:szCs w:val="28"/>
        </w:rPr>
      </w:pPr>
      <w:r w:rsidRPr="00876719">
        <w:rPr>
          <w:b/>
          <w:bCs/>
          <w:sz w:val="28"/>
          <w:szCs w:val="28"/>
        </w:rPr>
        <w:t>SETTORE AFFARI GENERALI E SERVIZI SOCIALI</w:t>
      </w:r>
    </w:p>
    <w:p w14:paraId="640C3872" w14:textId="77777777" w:rsidR="00530F59" w:rsidRPr="00530F59" w:rsidRDefault="00530F59" w:rsidP="00530F59">
      <w:pPr>
        <w:jc w:val="center"/>
        <w:rPr>
          <w:b/>
          <w:bCs/>
        </w:rPr>
      </w:pPr>
      <w:r w:rsidRPr="00530F59">
        <w:rPr>
          <w:b/>
          <w:bCs/>
        </w:rPr>
        <w:t>ALLEGATO C</w:t>
      </w:r>
    </w:p>
    <w:p w14:paraId="01CA3DF6" w14:textId="7E65FD67" w:rsidR="00530F59" w:rsidRDefault="009978BC" w:rsidP="009978BC">
      <w:pPr>
        <w:jc w:val="center"/>
        <w:rPr>
          <w:b/>
          <w:bCs/>
        </w:rPr>
      </w:pPr>
      <w:r w:rsidRPr="009978BC">
        <w:rPr>
          <w:b/>
          <w:bCs/>
        </w:rPr>
        <w:t>REGOLAMENTO DEI RAPPORTI TRA IL COMUNE DI MARIGLIANELLA E I SOGGETTI GESTORI ACCREDITATI PER L'ATTUAZIONE DELLE ATTIVITÀ SOCIO-EDUCATIVE A FAVORE DEI MINORI – ANNUALITÀ 2026</w:t>
      </w:r>
    </w:p>
    <w:p w14:paraId="44E6F1AD" w14:textId="148F3016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 xml:space="preserve">Attività socio-educative a favore dei minori – </w:t>
      </w:r>
      <w:r w:rsidRPr="009978BC">
        <w:rPr>
          <w:b/>
          <w:bCs/>
        </w:rPr>
        <w:t>Ann</w:t>
      </w:r>
      <w:r w:rsidR="00704060" w:rsidRPr="009978BC">
        <w:rPr>
          <w:b/>
          <w:bCs/>
        </w:rPr>
        <w:t>o</w:t>
      </w:r>
      <w:r w:rsidRPr="009978BC">
        <w:rPr>
          <w:b/>
          <w:bCs/>
        </w:rPr>
        <w:t xml:space="preserve"> 2026</w:t>
      </w:r>
      <w:r w:rsidR="00080C9E">
        <w:rPr>
          <w:b/>
          <w:bCs/>
        </w:rPr>
        <w:t xml:space="preserve"> </w:t>
      </w:r>
    </w:p>
    <w:p w14:paraId="6AD25D93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1 – Oggetto</w:t>
      </w:r>
    </w:p>
    <w:p w14:paraId="235CC78A" w14:textId="799837BA" w:rsidR="00530F59" w:rsidRPr="00530F59" w:rsidRDefault="00530F59" w:rsidP="00530F59">
      <w:pPr>
        <w:jc w:val="both"/>
      </w:pPr>
      <w:r w:rsidRPr="00530F59">
        <w:t xml:space="preserve">Il presente </w:t>
      </w:r>
      <w:r w:rsidR="00704060" w:rsidRPr="009978BC">
        <w:t>Regolamento</w:t>
      </w:r>
      <w:r w:rsidR="00704060">
        <w:t xml:space="preserve"> </w:t>
      </w:r>
      <w:r w:rsidRPr="00530F59">
        <w:t>disciplina i rapporti tra il Comune di Mariglianella ed i soggetti inseriti nell'Elenco comunale dei soggetti gestori accreditati per la realizzazione delle attività socio-educative, ludico-ricreative, culturali e sportive rivolte ai minori.</w:t>
      </w:r>
    </w:p>
    <w:p w14:paraId="395FCBC8" w14:textId="77777777" w:rsidR="00530F59" w:rsidRPr="00530F59" w:rsidRDefault="00530F59" w:rsidP="00530F59">
      <w:pPr>
        <w:jc w:val="both"/>
      </w:pPr>
      <w:r w:rsidRPr="00530F59">
        <w:t>L'accreditamento non costituisce affidamento di servizio né determina alcun diritto all'assegnazione di utenti o di risorse economiche.</w:t>
      </w:r>
    </w:p>
    <w:p w14:paraId="2B19788C" w14:textId="7B2B9F24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2 – Obblighi del soggetto gestore</w:t>
      </w:r>
    </w:p>
    <w:p w14:paraId="0B3251E1" w14:textId="77777777" w:rsidR="00530F59" w:rsidRPr="00530F59" w:rsidRDefault="00530F59" w:rsidP="00530F59">
      <w:pPr>
        <w:jc w:val="both"/>
      </w:pPr>
      <w:r w:rsidRPr="00530F59">
        <w:t>Il soggetto accreditato si impegna a:</w:t>
      </w:r>
    </w:p>
    <w:p w14:paraId="247BCF00" w14:textId="77777777" w:rsidR="00530F59" w:rsidRPr="00530F59" w:rsidRDefault="00530F59" w:rsidP="00530F59">
      <w:pPr>
        <w:numPr>
          <w:ilvl w:val="0"/>
          <w:numId w:val="1"/>
        </w:numPr>
        <w:jc w:val="both"/>
      </w:pPr>
      <w:r w:rsidRPr="00530F59">
        <w:t>realizzare le attività conformemente alla proposta progettuale presentata;</w:t>
      </w:r>
    </w:p>
    <w:p w14:paraId="3CC0F78F" w14:textId="77777777" w:rsidR="00530F59" w:rsidRPr="00530F59" w:rsidRDefault="00530F59" w:rsidP="00530F59">
      <w:pPr>
        <w:numPr>
          <w:ilvl w:val="0"/>
          <w:numId w:val="1"/>
        </w:numPr>
        <w:jc w:val="both"/>
      </w:pPr>
      <w:r w:rsidRPr="00530F59">
        <w:t>garantire adeguati standard qualitativi, educativi e organizzativi;</w:t>
      </w:r>
    </w:p>
    <w:p w14:paraId="51E60A81" w14:textId="77777777" w:rsidR="00530F59" w:rsidRPr="00530F59" w:rsidRDefault="00530F59" w:rsidP="00530F59">
      <w:pPr>
        <w:numPr>
          <w:ilvl w:val="0"/>
          <w:numId w:val="1"/>
        </w:numPr>
        <w:jc w:val="both"/>
      </w:pPr>
      <w:r w:rsidRPr="00530F59">
        <w:t>assicurare il rispetto della normativa vigente in materia di tutela dei minori, sicurezza e protezione dei dati personali;</w:t>
      </w:r>
    </w:p>
    <w:p w14:paraId="012DE3BD" w14:textId="77777777" w:rsidR="00530F59" w:rsidRPr="00530F59" w:rsidRDefault="00530F59" w:rsidP="00530F59">
      <w:pPr>
        <w:numPr>
          <w:ilvl w:val="0"/>
          <w:numId w:val="1"/>
        </w:numPr>
        <w:jc w:val="both"/>
      </w:pPr>
      <w:r w:rsidRPr="00530F59">
        <w:t>mantenere per tutta la durata delle attività i requisiti dichiarati in sede di accreditamento;</w:t>
      </w:r>
    </w:p>
    <w:p w14:paraId="58867A36" w14:textId="77777777" w:rsidR="00530F59" w:rsidRPr="00530F59" w:rsidRDefault="00530F59" w:rsidP="00530F59">
      <w:pPr>
        <w:numPr>
          <w:ilvl w:val="0"/>
          <w:numId w:val="1"/>
        </w:numPr>
        <w:jc w:val="both"/>
      </w:pPr>
      <w:r w:rsidRPr="00530F59">
        <w:t>utilizzare personale idoneo e qualificato.</w:t>
      </w:r>
    </w:p>
    <w:p w14:paraId="3A0B5E6F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3 – Copertura assicurativa</w:t>
      </w:r>
    </w:p>
    <w:p w14:paraId="61328E15" w14:textId="77777777" w:rsidR="00530F59" w:rsidRPr="00530F59" w:rsidRDefault="00530F59" w:rsidP="00530F59">
      <w:pPr>
        <w:jc w:val="both"/>
      </w:pPr>
      <w:r w:rsidRPr="00530F59">
        <w:t>Prima dell'avvio delle attività il soggetto gestore dovrà essere in possesso di idonea copertura assicurativa per responsabilità civile verso terzi e per gli infortuni dei minori partecipanti.</w:t>
      </w:r>
    </w:p>
    <w:p w14:paraId="6B819996" w14:textId="77777777" w:rsidR="00530F59" w:rsidRPr="00530F59" w:rsidRDefault="00530F59" w:rsidP="00530F59">
      <w:pPr>
        <w:jc w:val="both"/>
      </w:pPr>
      <w:r w:rsidRPr="00530F59">
        <w:t>La copertura assicurativa dovrà permanere per tutta la durata delle attività.</w:t>
      </w:r>
    </w:p>
    <w:p w14:paraId="65EE0727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4 – Svolgimento delle attività</w:t>
      </w:r>
    </w:p>
    <w:p w14:paraId="77954027" w14:textId="77777777" w:rsidR="00530F59" w:rsidRPr="00530F59" w:rsidRDefault="00530F59" w:rsidP="00530F59">
      <w:pPr>
        <w:jc w:val="both"/>
      </w:pPr>
      <w:r w:rsidRPr="00530F59">
        <w:lastRenderedPageBreak/>
        <w:t>Le attività dovranno svolgersi nel periodo compreso tra i mesi di luglio e agosto 2026, secondo quanto previsto dalla proposta progettuale approvata.</w:t>
      </w:r>
    </w:p>
    <w:p w14:paraId="33CB01F8" w14:textId="77777777" w:rsidR="00530F59" w:rsidRPr="00530F59" w:rsidRDefault="00530F59" w:rsidP="00530F59">
      <w:pPr>
        <w:jc w:val="both"/>
      </w:pPr>
      <w:r w:rsidRPr="00530F59">
        <w:t>Il soggetto gestore dovrà garantire il regolare svolgimento delle attività, assicurando la vigilanza dei minori e il rispetto della normativa vigente.</w:t>
      </w:r>
    </w:p>
    <w:p w14:paraId="0E174CDB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5 – Registro delle presenze</w:t>
      </w:r>
    </w:p>
    <w:p w14:paraId="2EEC2528" w14:textId="77777777" w:rsidR="00530F59" w:rsidRPr="00530F59" w:rsidRDefault="00530F59" w:rsidP="00530F59">
      <w:pPr>
        <w:jc w:val="both"/>
      </w:pPr>
      <w:r w:rsidRPr="00530F59">
        <w:t>Il soggetto gestore dovrà predisporre un registro giornaliero delle presenze dei minori, riportante almeno:</w:t>
      </w:r>
    </w:p>
    <w:p w14:paraId="345A40D4" w14:textId="77777777" w:rsidR="00530F59" w:rsidRPr="00530F59" w:rsidRDefault="00530F59" w:rsidP="00530F59">
      <w:pPr>
        <w:numPr>
          <w:ilvl w:val="0"/>
          <w:numId w:val="2"/>
        </w:numPr>
        <w:jc w:val="both"/>
      </w:pPr>
      <w:r w:rsidRPr="00530F59">
        <w:t>nominativo del minore;</w:t>
      </w:r>
    </w:p>
    <w:p w14:paraId="0575E1EE" w14:textId="77777777" w:rsidR="00530F59" w:rsidRPr="00530F59" w:rsidRDefault="00530F59" w:rsidP="00530F59">
      <w:pPr>
        <w:numPr>
          <w:ilvl w:val="0"/>
          <w:numId w:val="2"/>
        </w:numPr>
        <w:jc w:val="both"/>
      </w:pPr>
      <w:r w:rsidRPr="00530F59">
        <w:t>data;</w:t>
      </w:r>
    </w:p>
    <w:p w14:paraId="166923EE" w14:textId="77777777" w:rsidR="00530F59" w:rsidRPr="00530F59" w:rsidRDefault="00530F59" w:rsidP="00530F59">
      <w:pPr>
        <w:numPr>
          <w:ilvl w:val="0"/>
          <w:numId w:val="2"/>
        </w:numPr>
        <w:jc w:val="both"/>
      </w:pPr>
      <w:r w:rsidRPr="00530F59">
        <w:t>orario di ingresso;</w:t>
      </w:r>
    </w:p>
    <w:p w14:paraId="5A942B57" w14:textId="77777777" w:rsidR="00530F59" w:rsidRPr="00530F59" w:rsidRDefault="00530F59" w:rsidP="00530F59">
      <w:pPr>
        <w:numPr>
          <w:ilvl w:val="0"/>
          <w:numId w:val="2"/>
        </w:numPr>
        <w:jc w:val="both"/>
      </w:pPr>
      <w:r w:rsidRPr="00530F59">
        <w:t>orario di uscita;</w:t>
      </w:r>
    </w:p>
    <w:p w14:paraId="014F8632" w14:textId="77777777" w:rsidR="00530F59" w:rsidRPr="00530F59" w:rsidRDefault="00530F59" w:rsidP="00530F59">
      <w:pPr>
        <w:numPr>
          <w:ilvl w:val="0"/>
          <w:numId w:val="2"/>
        </w:numPr>
        <w:jc w:val="both"/>
      </w:pPr>
      <w:r w:rsidRPr="00530F59">
        <w:t>firma dell'accompagnatore, ove prevista.</w:t>
      </w:r>
    </w:p>
    <w:p w14:paraId="62DBDA9E" w14:textId="77777777" w:rsidR="00530F59" w:rsidRPr="00530F59" w:rsidRDefault="00530F59" w:rsidP="00530F59">
      <w:pPr>
        <w:jc w:val="both"/>
      </w:pPr>
      <w:r w:rsidRPr="00530F59">
        <w:t>Il registro dovrà essere conservato ed esibito al Comune in caso di controlli.</w:t>
      </w:r>
    </w:p>
    <w:p w14:paraId="275ED0EB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6 – Monitoraggio e controlli</w:t>
      </w:r>
    </w:p>
    <w:p w14:paraId="7B818D6D" w14:textId="77777777" w:rsidR="00530F59" w:rsidRPr="00530F59" w:rsidRDefault="00530F59" w:rsidP="00530F59">
      <w:pPr>
        <w:jc w:val="both"/>
      </w:pPr>
      <w:r w:rsidRPr="00530F59">
        <w:t>Il Comune di Mariglianella potrà effettuare, in qualsiasi momento:</w:t>
      </w:r>
    </w:p>
    <w:p w14:paraId="341B886F" w14:textId="77777777" w:rsidR="00530F59" w:rsidRPr="00530F59" w:rsidRDefault="00530F59" w:rsidP="00530F59">
      <w:pPr>
        <w:numPr>
          <w:ilvl w:val="0"/>
          <w:numId w:val="3"/>
        </w:numPr>
        <w:jc w:val="both"/>
      </w:pPr>
      <w:r w:rsidRPr="00530F59">
        <w:t>controlli amministrativi;</w:t>
      </w:r>
    </w:p>
    <w:p w14:paraId="1F4DCB4A" w14:textId="77777777" w:rsidR="00530F59" w:rsidRPr="00530F59" w:rsidRDefault="00530F59" w:rsidP="00530F59">
      <w:pPr>
        <w:numPr>
          <w:ilvl w:val="0"/>
          <w:numId w:val="3"/>
        </w:numPr>
        <w:jc w:val="both"/>
      </w:pPr>
      <w:r w:rsidRPr="00530F59">
        <w:t>verifiche documentali;</w:t>
      </w:r>
    </w:p>
    <w:p w14:paraId="067C9BDF" w14:textId="77777777" w:rsidR="00530F59" w:rsidRPr="00530F59" w:rsidRDefault="00530F59" w:rsidP="00530F59">
      <w:pPr>
        <w:numPr>
          <w:ilvl w:val="0"/>
          <w:numId w:val="3"/>
        </w:numPr>
        <w:jc w:val="both"/>
      </w:pPr>
      <w:r w:rsidRPr="00530F59">
        <w:t>sopralluoghi presso le sedi delle attività;</w:t>
      </w:r>
    </w:p>
    <w:p w14:paraId="75746026" w14:textId="77777777" w:rsidR="00530F59" w:rsidRPr="00530F59" w:rsidRDefault="00530F59" w:rsidP="00530F59">
      <w:pPr>
        <w:numPr>
          <w:ilvl w:val="0"/>
          <w:numId w:val="3"/>
        </w:numPr>
        <w:jc w:val="both"/>
      </w:pPr>
      <w:r w:rsidRPr="00530F59">
        <w:t>controlli sulla permanenza dei requisiti dichiarati.</w:t>
      </w:r>
    </w:p>
    <w:p w14:paraId="0C997D1B" w14:textId="77777777" w:rsidR="00530F59" w:rsidRPr="00530F59" w:rsidRDefault="00530F59" w:rsidP="00530F59">
      <w:pPr>
        <w:jc w:val="both"/>
      </w:pPr>
      <w:r w:rsidRPr="00530F59">
        <w:t>Il soggetto gestore dovrà garantire la massima collaborazione.</w:t>
      </w:r>
    </w:p>
    <w:p w14:paraId="77612C7A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7 – Rendicontazione</w:t>
      </w:r>
    </w:p>
    <w:p w14:paraId="65F442F2" w14:textId="77777777" w:rsidR="00530F59" w:rsidRPr="00530F59" w:rsidRDefault="00530F59" w:rsidP="00530F59">
      <w:pPr>
        <w:jc w:val="both"/>
      </w:pPr>
      <w:r w:rsidRPr="00530F59">
        <w:t>Al termine delle attività il soggetto gestore dovrà trasmettere al Comune:</w:t>
      </w:r>
    </w:p>
    <w:p w14:paraId="66B93D37" w14:textId="45F862C7" w:rsidR="00530F59" w:rsidRPr="001767BA" w:rsidRDefault="00704060" w:rsidP="00530F59">
      <w:pPr>
        <w:numPr>
          <w:ilvl w:val="0"/>
          <w:numId w:val="4"/>
        </w:numPr>
        <w:jc w:val="both"/>
      </w:pPr>
      <w:r w:rsidRPr="001767BA">
        <w:t>F</w:t>
      </w:r>
      <w:r w:rsidR="0068568A" w:rsidRPr="001767BA">
        <w:t>attur</w:t>
      </w:r>
      <w:r w:rsidR="001767BA" w:rsidRPr="001767BA">
        <w:t>azione delle attività svolte;</w:t>
      </w:r>
    </w:p>
    <w:p w14:paraId="6B6E581F" w14:textId="77777777" w:rsidR="00530F59" w:rsidRPr="00530F59" w:rsidRDefault="00530F59" w:rsidP="00530F59">
      <w:pPr>
        <w:numPr>
          <w:ilvl w:val="0"/>
          <w:numId w:val="4"/>
        </w:numPr>
        <w:jc w:val="both"/>
      </w:pPr>
      <w:r w:rsidRPr="00530F59">
        <w:t>relazione finale illustrativa delle attività svolte;</w:t>
      </w:r>
    </w:p>
    <w:p w14:paraId="033781BF" w14:textId="77777777" w:rsidR="00530F59" w:rsidRPr="00530F59" w:rsidRDefault="00530F59" w:rsidP="00530F59">
      <w:pPr>
        <w:numPr>
          <w:ilvl w:val="0"/>
          <w:numId w:val="4"/>
        </w:numPr>
        <w:jc w:val="both"/>
      </w:pPr>
      <w:r w:rsidRPr="00530F59">
        <w:t>registro delle presenze dei minori;</w:t>
      </w:r>
    </w:p>
    <w:p w14:paraId="03791FD5" w14:textId="77777777" w:rsidR="00530F59" w:rsidRPr="00530F59" w:rsidRDefault="00530F59" w:rsidP="00530F59">
      <w:pPr>
        <w:numPr>
          <w:ilvl w:val="0"/>
          <w:numId w:val="4"/>
        </w:numPr>
        <w:jc w:val="both"/>
      </w:pPr>
      <w:r w:rsidRPr="00530F59">
        <w:t>prospetto riepilogativo delle frequenze;</w:t>
      </w:r>
    </w:p>
    <w:p w14:paraId="58C6DEA2" w14:textId="77777777" w:rsidR="00530F59" w:rsidRPr="00530F59" w:rsidRDefault="00530F59" w:rsidP="00530F59">
      <w:pPr>
        <w:numPr>
          <w:ilvl w:val="0"/>
          <w:numId w:val="4"/>
        </w:numPr>
        <w:jc w:val="both"/>
      </w:pPr>
      <w:r w:rsidRPr="00530F59">
        <w:t>documentazione fiscale prevista dalla normativa vigente (fattura o documento equipollente, ove dovuto);</w:t>
      </w:r>
    </w:p>
    <w:p w14:paraId="6057DCC9" w14:textId="77777777" w:rsidR="00530F59" w:rsidRPr="00530F59" w:rsidRDefault="00530F59" w:rsidP="00530F59">
      <w:pPr>
        <w:numPr>
          <w:ilvl w:val="0"/>
          <w:numId w:val="4"/>
        </w:numPr>
        <w:jc w:val="both"/>
      </w:pPr>
      <w:r w:rsidRPr="00530F59">
        <w:t>ogni ulteriore documentazione eventualmente richiesta dal Comune.</w:t>
      </w:r>
    </w:p>
    <w:p w14:paraId="25BDE3D0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8 – Liquidazione del contributo</w:t>
      </w:r>
    </w:p>
    <w:p w14:paraId="00D95F69" w14:textId="77777777" w:rsidR="00530F59" w:rsidRPr="00530F59" w:rsidRDefault="00530F59" w:rsidP="00530F59">
      <w:pPr>
        <w:jc w:val="both"/>
      </w:pPr>
      <w:r w:rsidRPr="00530F59">
        <w:t>La liquidazione sarà effettuata esclusivamente:</w:t>
      </w:r>
    </w:p>
    <w:p w14:paraId="2E2DDF24" w14:textId="77777777" w:rsidR="00530F59" w:rsidRPr="00530F59" w:rsidRDefault="00530F59" w:rsidP="00530F59">
      <w:pPr>
        <w:numPr>
          <w:ilvl w:val="0"/>
          <w:numId w:val="5"/>
        </w:numPr>
        <w:jc w:val="both"/>
      </w:pPr>
      <w:r w:rsidRPr="00530F59">
        <w:t>nei limiti delle risorse disponibili;</w:t>
      </w:r>
    </w:p>
    <w:p w14:paraId="30D63110" w14:textId="77777777" w:rsidR="00530F59" w:rsidRPr="00530F59" w:rsidRDefault="00530F59" w:rsidP="00530F59">
      <w:pPr>
        <w:numPr>
          <w:ilvl w:val="0"/>
          <w:numId w:val="5"/>
        </w:numPr>
        <w:jc w:val="both"/>
      </w:pPr>
      <w:r w:rsidRPr="00530F59">
        <w:t>sulla base dell'effettiva frequenza dei minori;</w:t>
      </w:r>
    </w:p>
    <w:p w14:paraId="2424EEA5" w14:textId="77777777" w:rsidR="00530F59" w:rsidRPr="00530F59" w:rsidRDefault="00530F59" w:rsidP="00530F59">
      <w:pPr>
        <w:numPr>
          <w:ilvl w:val="0"/>
          <w:numId w:val="5"/>
        </w:numPr>
        <w:jc w:val="both"/>
      </w:pPr>
      <w:r w:rsidRPr="00530F59">
        <w:lastRenderedPageBreak/>
        <w:t>previa verifica della regolare rendicontazione;</w:t>
      </w:r>
    </w:p>
    <w:p w14:paraId="37E3F823" w14:textId="77777777" w:rsidR="00530F59" w:rsidRPr="00530F59" w:rsidRDefault="00530F59" w:rsidP="00530F59">
      <w:pPr>
        <w:numPr>
          <w:ilvl w:val="0"/>
          <w:numId w:val="5"/>
        </w:numPr>
        <w:jc w:val="both"/>
      </w:pPr>
      <w:r w:rsidRPr="00530F59">
        <w:t>previa verifica della permanenza dei requisiti dichiarati;</w:t>
      </w:r>
    </w:p>
    <w:p w14:paraId="3FB31DC9" w14:textId="77777777" w:rsidR="00530F59" w:rsidRPr="00530F59" w:rsidRDefault="00530F59" w:rsidP="00530F59">
      <w:pPr>
        <w:numPr>
          <w:ilvl w:val="0"/>
          <w:numId w:val="5"/>
        </w:numPr>
        <w:jc w:val="both"/>
      </w:pPr>
      <w:r w:rsidRPr="00530F59">
        <w:t>previa acquisizione del DURC, ove previsto dalla normativa vigente.</w:t>
      </w:r>
    </w:p>
    <w:p w14:paraId="558A79B1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9 – Revoca dell'accreditamento</w:t>
      </w:r>
    </w:p>
    <w:p w14:paraId="3C6B54B1" w14:textId="77777777" w:rsidR="00530F59" w:rsidRPr="00530F59" w:rsidRDefault="00530F59" w:rsidP="00530F59">
      <w:pPr>
        <w:jc w:val="both"/>
      </w:pPr>
      <w:r w:rsidRPr="00530F59">
        <w:t>Il Comune potrà procedere alla sospensione o alla cancellazione dall'Elenco comunale nei casi di:</w:t>
      </w:r>
    </w:p>
    <w:p w14:paraId="7C9CD886" w14:textId="77777777" w:rsidR="00530F59" w:rsidRPr="00530F59" w:rsidRDefault="00530F59" w:rsidP="00530F59">
      <w:pPr>
        <w:numPr>
          <w:ilvl w:val="0"/>
          <w:numId w:val="6"/>
        </w:numPr>
        <w:jc w:val="both"/>
      </w:pPr>
      <w:r w:rsidRPr="00530F59">
        <w:t>perdita dei requisiti richiesti;</w:t>
      </w:r>
    </w:p>
    <w:p w14:paraId="282B7ECC" w14:textId="77777777" w:rsidR="00530F59" w:rsidRPr="00530F59" w:rsidRDefault="00530F59" w:rsidP="00530F59">
      <w:pPr>
        <w:numPr>
          <w:ilvl w:val="0"/>
          <w:numId w:val="6"/>
        </w:numPr>
        <w:jc w:val="both"/>
      </w:pPr>
      <w:r w:rsidRPr="00530F59">
        <w:t>dichiarazioni mendaci;</w:t>
      </w:r>
    </w:p>
    <w:p w14:paraId="27AC242A" w14:textId="77777777" w:rsidR="00530F59" w:rsidRPr="00530F59" w:rsidRDefault="00530F59" w:rsidP="00530F59">
      <w:pPr>
        <w:numPr>
          <w:ilvl w:val="0"/>
          <w:numId w:val="6"/>
        </w:numPr>
        <w:jc w:val="both"/>
      </w:pPr>
      <w:r w:rsidRPr="00530F59">
        <w:t>gravi irregolarità nello svolgimento delle attività;</w:t>
      </w:r>
    </w:p>
    <w:p w14:paraId="11F420C0" w14:textId="77777777" w:rsidR="00530F59" w:rsidRPr="00530F59" w:rsidRDefault="00530F59" w:rsidP="00530F59">
      <w:pPr>
        <w:numPr>
          <w:ilvl w:val="0"/>
          <w:numId w:val="6"/>
        </w:numPr>
        <w:jc w:val="both"/>
      </w:pPr>
      <w:r w:rsidRPr="00530F59">
        <w:t>mancato rispetto del presente Disciplinare;</w:t>
      </w:r>
    </w:p>
    <w:p w14:paraId="5D990FC9" w14:textId="77777777" w:rsidR="00530F59" w:rsidRPr="00530F59" w:rsidRDefault="00530F59" w:rsidP="00530F59">
      <w:pPr>
        <w:numPr>
          <w:ilvl w:val="0"/>
          <w:numId w:val="6"/>
        </w:numPr>
        <w:jc w:val="both"/>
      </w:pPr>
      <w:r w:rsidRPr="00530F59">
        <w:t>mancata collaborazione nell'attività di controllo.</w:t>
      </w:r>
    </w:p>
    <w:p w14:paraId="53FF6809" w14:textId="77777777" w:rsidR="00530F59" w:rsidRPr="00530F59" w:rsidRDefault="00530F59" w:rsidP="00530F59">
      <w:pPr>
        <w:jc w:val="both"/>
      </w:pPr>
      <w:r w:rsidRPr="00530F59">
        <w:t>Restano ferme le ulteriori responsabilità previste dalla normativa vigente.</w:t>
      </w:r>
    </w:p>
    <w:p w14:paraId="08470F31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10 – Trattamento dei dati personali</w:t>
      </w:r>
    </w:p>
    <w:p w14:paraId="291E9030" w14:textId="77777777" w:rsidR="00530F59" w:rsidRPr="00530F59" w:rsidRDefault="00530F59" w:rsidP="00530F59">
      <w:pPr>
        <w:jc w:val="both"/>
      </w:pPr>
      <w:r w:rsidRPr="00530F59">
        <w:t>I dati personali saranno trattati nel rispetto del Regolamento (UE) 2016/679 e della normativa nazionale vigente esclusivamente per le finalità connesse alla gestione della presente procedura.</w:t>
      </w:r>
    </w:p>
    <w:p w14:paraId="148E3C8F" w14:textId="77777777" w:rsidR="00530F59" w:rsidRPr="00530F59" w:rsidRDefault="00530F59" w:rsidP="00530F59">
      <w:pPr>
        <w:jc w:val="both"/>
        <w:rPr>
          <w:b/>
          <w:bCs/>
        </w:rPr>
      </w:pPr>
      <w:r w:rsidRPr="00530F59">
        <w:rPr>
          <w:b/>
          <w:bCs/>
        </w:rPr>
        <w:t>Art. 11 – Disposizioni finali</w:t>
      </w:r>
    </w:p>
    <w:p w14:paraId="2FB5F97D" w14:textId="77777777" w:rsidR="00530F59" w:rsidRPr="00530F59" w:rsidRDefault="00530F59" w:rsidP="00530F59">
      <w:pPr>
        <w:jc w:val="both"/>
      </w:pPr>
      <w:r w:rsidRPr="00530F59">
        <w:t>Per quanto non espressamente disciplinato dal presente Disciplinare si rinvia all'Avviso Pubblico, alla proposta progettuale approvata dal Comune di Mariglianella, nonché alla normativa vigente in materia.</w:t>
      </w:r>
    </w:p>
    <w:p w14:paraId="73310B72" w14:textId="77777777" w:rsidR="00530F59" w:rsidRPr="00530F59" w:rsidRDefault="00530F59" w:rsidP="00530F59">
      <w:pPr>
        <w:jc w:val="both"/>
      </w:pPr>
      <w:r w:rsidRPr="00530F59">
        <w:t>Il presente Disciplinare dovrà essere sottoscritto per accettazione dal legale rappresentante del soggetto gestore accreditato.</w:t>
      </w:r>
    </w:p>
    <w:p w14:paraId="3B9108DA" w14:textId="77777777" w:rsidR="00530F59" w:rsidRPr="00530F59" w:rsidRDefault="00530F59" w:rsidP="00530F59">
      <w:pPr>
        <w:jc w:val="both"/>
      </w:pPr>
      <w:r w:rsidRPr="00530F59">
        <w:t>Mariglianella, ___________</w:t>
      </w:r>
    </w:p>
    <w:p w14:paraId="460D7786" w14:textId="77777777" w:rsidR="00530F59" w:rsidRPr="00530F59" w:rsidRDefault="00530F59" w:rsidP="00530F59">
      <w:pPr>
        <w:jc w:val="both"/>
      </w:pPr>
      <w:r w:rsidRPr="00530F59">
        <w:t>Per il Comune di Mariglianella</w:t>
      </w:r>
    </w:p>
    <w:p w14:paraId="0DAF31D7" w14:textId="77777777" w:rsidR="00530F59" w:rsidRPr="00530F59" w:rsidRDefault="00530F59" w:rsidP="00530F59">
      <w:pPr>
        <w:jc w:val="both"/>
      </w:pPr>
      <w:r w:rsidRPr="00530F59">
        <w:t>Il Responsabile del Settore</w:t>
      </w:r>
    </w:p>
    <w:p w14:paraId="1517B6A3" w14:textId="77777777" w:rsidR="00530F59" w:rsidRPr="00530F59" w:rsidRDefault="00000000" w:rsidP="00530F59">
      <w:pPr>
        <w:jc w:val="both"/>
      </w:pPr>
      <w:r>
        <w:pict w14:anchorId="4CFFB995">
          <v:rect id="_x0000_i1025" style="width:0;height:1.5pt" o:hralign="center" o:hrstd="t" o:hr="t" fillcolor="#a0a0a0" stroked="f"/>
        </w:pict>
      </w:r>
    </w:p>
    <w:p w14:paraId="49C6412A" w14:textId="77777777" w:rsidR="00530F59" w:rsidRPr="00530F59" w:rsidRDefault="00530F59" w:rsidP="00530F59">
      <w:pPr>
        <w:jc w:val="both"/>
      </w:pPr>
      <w:r w:rsidRPr="00530F59">
        <w:t>Per accettazione</w:t>
      </w:r>
    </w:p>
    <w:p w14:paraId="55BEB9B4" w14:textId="77777777" w:rsidR="00530F59" w:rsidRPr="00530F59" w:rsidRDefault="00530F59" w:rsidP="00530F59">
      <w:pPr>
        <w:jc w:val="both"/>
      </w:pPr>
      <w:r w:rsidRPr="00530F59">
        <w:t>Il Legale Rappresentante</w:t>
      </w:r>
    </w:p>
    <w:p w14:paraId="10E7193E" w14:textId="77777777" w:rsidR="00530F59" w:rsidRPr="00530F59" w:rsidRDefault="00000000" w:rsidP="00530F59">
      <w:pPr>
        <w:jc w:val="both"/>
      </w:pPr>
      <w:r>
        <w:pict w14:anchorId="097F5ABB">
          <v:rect id="_x0000_i1026" style="width:0;height:1.5pt" o:hralign="center" o:hrstd="t" o:hr="t" fillcolor="#a0a0a0" stroked="f"/>
        </w:pict>
      </w:r>
    </w:p>
    <w:p w14:paraId="62082BA5" w14:textId="77777777" w:rsidR="007067CF" w:rsidRDefault="007067CF" w:rsidP="00530F59">
      <w:pPr>
        <w:jc w:val="both"/>
      </w:pPr>
    </w:p>
    <w:sectPr w:rsidR="00706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F47"/>
    <w:multiLevelType w:val="multilevel"/>
    <w:tmpl w:val="7F9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04F5"/>
    <w:multiLevelType w:val="multilevel"/>
    <w:tmpl w:val="A3C2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41B"/>
    <w:multiLevelType w:val="multilevel"/>
    <w:tmpl w:val="E59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353CE"/>
    <w:multiLevelType w:val="multilevel"/>
    <w:tmpl w:val="853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2437"/>
    <w:multiLevelType w:val="multilevel"/>
    <w:tmpl w:val="3B8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766D9"/>
    <w:multiLevelType w:val="multilevel"/>
    <w:tmpl w:val="B96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828062">
    <w:abstractNumId w:val="5"/>
  </w:num>
  <w:num w:numId="2" w16cid:durableId="186607068">
    <w:abstractNumId w:val="4"/>
  </w:num>
  <w:num w:numId="3" w16cid:durableId="318922769">
    <w:abstractNumId w:val="0"/>
  </w:num>
  <w:num w:numId="4" w16cid:durableId="721174839">
    <w:abstractNumId w:val="3"/>
  </w:num>
  <w:num w:numId="5" w16cid:durableId="953947978">
    <w:abstractNumId w:val="1"/>
  </w:num>
  <w:num w:numId="6" w16cid:durableId="206617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59"/>
    <w:rsid w:val="00080C9E"/>
    <w:rsid w:val="001767BA"/>
    <w:rsid w:val="00370EAE"/>
    <w:rsid w:val="003A5BA1"/>
    <w:rsid w:val="00404C52"/>
    <w:rsid w:val="00530F59"/>
    <w:rsid w:val="00676478"/>
    <w:rsid w:val="0068568A"/>
    <w:rsid w:val="006E096A"/>
    <w:rsid w:val="00704060"/>
    <w:rsid w:val="007067CF"/>
    <w:rsid w:val="00876719"/>
    <w:rsid w:val="009978BC"/>
    <w:rsid w:val="00D736BA"/>
    <w:rsid w:val="00D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B838"/>
  <w15:chartTrackingRefBased/>
  <w15:docId w15:val="{7550EC26-AA0A-45CA-9FA4-DCF29F3C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F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F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F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F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F5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F5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F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F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F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F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F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0F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F5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F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F5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F59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6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ariglianella@asme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2026-06-26T09:17:00Z</dcterms:created>
  <dcterms:modified xsi:type="dcterms:W3CDTF">2026-06-26T09:53:00Z</dcterms:modified>
</cp:coreProperties>
</file>